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111</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408243</w:t>
      </w:r>
    </w:p>
    <w:p>
      <w:pPr>
        <w:tabs>
          <w:tab w:val="left" w:pos="420"/>
          <w:tab w:val="left" w:pos="840"/>
          <w:tab w:val="left" w:pos="1260"/>
          <w:tab w:val="left" w:pos="1680"/>
          <w:tab w:val="left" w:pos="2100"/>
          <w:tab w:val="left" w:pos="2520"/>
        </w:tabs>
        <w:jc w:val="both"/>
        <w:rPr>
          <w:rFonts w:ascii="Arial" w:hAnsi="Arial" w:eastAsia="宋体" w:cs="Arial"/>
          <w:b/>
          <w:sz w:val="24"/>
          <w:szCs w:val="24"/>
          <w:lang w:eastAsia="zh-CN"/>
        </w:rPr>
      </w:pPr>
      <w:r>
        <w:rPr>
          <w:rFonts w:ascii="Arial" w:hAnsi="Arial" w:eastAsia="宋体" w:cs="Arial"/>
          <w:b/>
          <w:sz w:val="24"/>
          <w:szCs w:val="24"/>
          <w:lang w:eastAsia="zh-CN"/>
        </w:rPr>
        <w:t>Fukuoka City, Fukuoka , Japan, 20th – 24th May,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core maintenance of SCell activation delay reduction</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7.4.1</w:t>
      </w:r>
      <w:bookmarkStart w:id="0" w:name="_GoBack"/>
      <w:bookmarkEnd w:id="0"/>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The core part has been basically finished and good progress were achieved. In last meeting, the efforts were paid to push the progress of perf part and companies reached consensus on some critical issues. Still some small maintenance issues with respect to the core part were proposed during last meeting. In this paper, we provide our views on the remaining issues of core part.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widowControl w:val="0"/>
        <w:numPr>
          <w:ilvl w:val="0"/>
          <w:numId w:val="0"/>
        </w:numPr>
        <w:ind w:leftChars="0"/>
        <w:jc w:val="both"/>
        <w:rPr>
          <w:rFonts w:hint="default" w:eastAsia="宋体"/>
          <w:b/>
          <w:bCs/>
          <w:color w:val="auto"/>
          <w:sz w:val="20"/>
          <w:szCs w:val="20"/>
          <w:u w:val="single"/>
          <w:lang w:val="en-US" w:eastAsia="zh-CN"/>
        </w:rPr>
      </w:pPr>
      <w:r>
        <w:rPr>
          <w:rFonts w:hint="eastAsia" w:eastAsia="宋体"/>
          <w:b/>
          <w:bCs/>
          <w:color w:val="auto"/>
          <w:sz w:val="20"/>
          <w:szCs w:val="20"/>
          <w:u w:val="single"/>
          <w:lang w:val="en-US" w:eastAsia="zh-CN"/>
        </w:rPr>
        <w:t>L3 reporting in multiple SCell activation:</w:t>
      </w:r>
    </w:p>
    <w:p>
      <w:pPr>
        <w:pStyle w:val="12"/>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This issue has been proposed for several meetings. We summarize the progress in [1] regarding this issue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70C0"/>
                <w:u w:val="single"/>
                <w:lang w:eastAsia="ko-KR"/>
              </w:rPr>
            </w:pPr>
            <w:r>
              <w:rPr>
                <w:b/>
                <w:color w:val="0070C0"/>
                <w:u w:val="single"/>
                <w:lang w:eastAsia="ko-KR"/>
              </w:rPr>
              <w:t>Whether SCell activation triggered L3 report is on one serving cell in same band or on all serving cells</w:t>
            </w:r>
          </w:p>
          <w:p>
            <w:pPr>
              <w:pStyle w:val="31"/>
              <w:numPr>
                <w:ilvl w:val="0"/>
                <w:numId w:val="3"/>
              </w:numPr>
              <w:overflowPunct/>
              <w:autoSpaceDE/>
              <w:autoSpaceDN/>
              <w:adjustRightInd/>
              <w:spacing w:after="120"/>
              <w:ind w:left="720" w:firstLineChars="0"/>
              <w:textAlignment w:val="auto"/>
              <w:rPr>
                <w:rFonts w:eastAsia="宋体"/>
                <w:color w:val="auto"/>
                <w:highlight w:val="green"/>
              </w:rPr>
            </w:pPr>
            <w:r>
              <w:rPr>
                <w:rFonts w:eastAsia="宋体"/>
                <w:color w:val="auto"/>
                <w:highlight w:val="green"/>
              </w:rPr>
              <w:t>Agreement:</w:t>
            </w:r>
          </w:p>
          <w:p>
            <w:pPr>
              <w:pStyle w:val="31"/>
              <w:numPr>
                <w:ilvl w:val="1"/>
                <w:numId w:val="3"/>
              </w:numPr>
              <w:overflowPunct/>
              <w:autoSpaceDE/>
              <w:autoSpaceDN/>
              <w:adjustRightInd/>
              <w:spacing w:after="120"/>
              <w:ind w:firstLineChars="0"/>
              <w:textAlignment w:val="auto"/>
              <w:rPr>
                <w:rFonts w:hint="default" w:eastAsia="宋体"/>
                <w:color w:val="auto"/>
                <w:sz w:val="20"/>
                <w:szCs w:val="20"/>
                <w:highlight w:val="none"/>
                <w:vertAlign w:val="baseline"/>
                <w:lang w:val="en-US" w:eastAsia="zh-CN"/>
              </w:rPr>
            </w:pPr>
            <w:r>
              <w:rPr>
                <w:color w:val="auto"/>
                <w:highlight w:val="green"/>
              </w:rPr>
              <w:t>According to the previous agreements, this issue can be left to RAN2 for decision. Further discussion in RAN4 in m</w:t>
            </w:r>
            <w:r>
              <w:rPr>
                <w:rFonts w:hint="eastAsia"/>
                <w:color w:val="auto"/>
                <w:highlight w:val="green"/>
              </w:rPr>
              <w:t>a</w:t>
            </w:r>
            <w:r>
              <w:rPr>
                <w:color w:val="auto"/>
                <w:highlight w:val="green"/>
              </w:rPr>
              <w:t xml:space="preserve">intenance part is not precluded. </w:t>
            </w:r>
          </w:p>
        </w:tc>
      </w:tr>
    </w:tbl>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Actually this issue is mainly subject to RAN2 decision, and RAN2 has already approved the relevant CR [2] in previous Chicago meeting, we highlight some details here: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keepNext w:val="0"/>
              <w:keepLines w:val="0"/>
              <w:pageBreakBefore w:val="0"/>
              <w:numPr>
                <w:ilvl w:val="0"/>
                <w:numId w:val="5"/>
              </w:numPr>
              <w:kinsoku/>
              <w:wordWrap/>
              <w:overflowPunct/>
              <w:topLinePunct w:val="0"/>
              <w:autoSpaceDE/>
              <w:autoSpaceDN/>
              <w:bidi w:val="0"/>
              <w:adjustRightInd/>
              <w:ind w:left="420" w:leftChars="0" w:hanging="420" w:firstLineChars="0"/>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 xml:space="preserve">RAN2 just add </w:t>
            </w:r>
            <w:r>
              <w:rPr>
                <w:rFonts w:hint="eastAsia" w:ascii="Times New Roman" w:hAnsi="Times New Roman" w:eastAsia="宋体" w:cs="Times New Roman"/>
                <w:i/>
                <w:iCs/>
                <w:color w:val="auto"/>
                <w:kern w:val="0"/>
                <w:sz w:val="20"/>
                <w:szCs w:val="20"/>
                <w:highlight w:val="none"/>
                <w:lang w:val="en-US" w:eastAsia="zh-CN" w:bidi="ar-SA"/>
              </w:rPr>
              <w:t>reportOnScellActivation</w:t>
            </w:r>
            <w:r>
              <w:rPr>
                <w:rFonts w:hint="eastAsia" w:ascii="Times New Roman" w:hAnsi="Times New Roman" w:eastAsia="宋体" w:cs="Times New Roman"/>
                <w:color w:val="auto"/>
                <w:kern w:val="0"/>
                <w:sz w:val="20"/>
                <w:szCs w:val="20"/>
                <w:highlight w:val="none"/>
                <w:lang w:val="en-US" w:eastAsia="zh-CN" w:bidi="ar-SA"/>
              </w:rPr>
              <w:t xml:space="preserve"> as a new reportType  </w:t>
            </w:r>
          </w:p>
          <w:p>
            <w:pPr>
              <w:pStyle w:val="31"/>
              <w:keepNext w:val="0"/>
              <w:keepLines w:val="0"/>
              <w:pageBreakBefore w:val="0"/>
              <w:numPr>
                <w:ilvl w:val="0"/>
                <w:numId w:val="5"/>
              </w:numPr>
              <w:kinsoku/>
              <w:wordWrap/>
              <w:overflowPunct/>
              <w:topLinePunct w:val="0"/>
              <w:autoSpaceDE/>
              <w:autoSpaceDN/>
              <w:bidi w:val="0"/>
              <w:adjustRightInd/>
              <w:ind w:left="420" w:leftChars="0" w:hanging="420" w:firstLineChars="0"/>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The UE behavior is:</w:t>
            </w:r>
          </w:p>
          <w:p>
            <w:pPr>
              <w:keepNext w:val="0"/>
              <w:keepLines w:val="0"/>
              <w:pageBreakBefore w:val="0"/>
              <w:kinsoku/>
              <w:wordWrap/>
              <w:overflowPunct/>
              <w:topLinePunct w:val="0"/>
              <w:autoSpaceDE/>
              <w:autoSpaceDN/>
              <w:bidi w:val="0"/>
              <w:adjustRightInd/>
              <w:ind w:leftChars="100"/>
              <w:textAlignment w:val="auto"/>
            </w:pPr>
            <w:r>
              <w:t>If AS security has been activated successfully and if SCell activation(s) indication is received from lower layer, the UE shall:</w:t>
            </w:r>
          </w:p>
          <w:p>
            <w:pPr>
              <w:pStyle w:val="33"/>
              <w:keepNext w:val="0"/>
              <w:keepLines w:val="0"/>
              <w:pageBreakBefore w:val="0"/>
              <w:numPr>
                <w:ilvl w:val="0"/>
                <w:numId w:val="6"/>
              </w:numPr>
              <w:kinsoku/>
              <w:wordWrap/>
              <w:overflowPunct/>
              <w:topLinePunct w:val="0"/>
              <w:autoSpaceDE/>
              <w:autoSpaceDN/>
              <w:bidi w:val="0"/>
              <w:adjustRightInd/>
              <w:spacing w:after="0"/>
              <w:ind w:leftChars="100"/>
              <w:textAlignment w:val="auto"/>
            </w:pPr>
            <w:r>
              <w:t>if</w:t>
            </w:r>
            <w:r>
              <w:rPr>
                <w:rFonts w:eastAsia="宋体"/>
                <w:i/>
                <w:lang w:eastAsia="en-US"/>
              </w:rPr>
              <w:t xml:space="preserve"> reportType </w:t>
            </w:r>
            <w:r>
              <w:rPr>
                <w:rFonts w:eastAsia="宋体"/>
                <w:lang w:eastAsia="en-US"/>
              </w:rPr>
              <w:t xml:space="preserve">is set to </w:t>
            </w:r>
            <w:r>
              <w:rPr>
                <w:rFonts w:eastAsia="宋体"/>
                <w:i/>
                <w:iCs/>
                <w:lang w:eastAsia="en-US"/>
              </w:rPr>
              <w:t>reportOnActivation</w:t>
            </w:r>
            <w:r>
              <w:t xml:space="preserve"> for any </w:t>
            </w:r>
            <w:r>
              <w:rPr>
                <w:i/>
              </w:rPr>
              <w:t>measId</w:t>
            </w:r>
            <w:r>
              <w:t xml:space="preserve"> included in the </w:t>
            </w:r>
            <w:r>
              <w:rPr>
                <w:i/>
              </w:rPr>
              <w:t>measIdList</w:t>
            </w:r>
            <w:r>
              <w:t xml:space="preserve"> within </w:t>
            </w:r>
            <w:r>
              <w:rPr>
                <w:i/>
              </w:rPr>
              <w:t>VarMeasConfig</w:t>
            </w:r>
            <w:r>
              <w:t>:</w:t>
            </w:r>
          </w:p>
          <w:p>
            <w:pPr>
              <w:pStyle w:val="33"/>
              <w:keepNext w:val="0"/>
              <w:keepLines w:val="0"/>
              <w:pageBreakBefore w:val="0"/>
              <w:numPr>
                <w:ilvl w:val="0"/>
                <w:numId w:val="6"/>
              </w:numPr>
              <w:kinsoku/>
              <w:wordWrap/>
              <w:overflowPunct/>
              <w:topLinePunct w:val="0"/>
              <w:autoSpaceDE/>
              <w:autoSpaceDN/>
              <w:bidi w:val="0"/>
              <w:adjustRightInd/>
              <w:spacing w:after="0"/>
              <w:ind w:leftChars="100"/>
              <w:textAlignment w:val="auto"/>
              <w:rPr>
                <w:rFonts w:eastAsia="宋体"/>
                <w:lang w:eastAsia="zh-CN"/>
              </w:rPr>
            </w:pPr>
            <w:r>
              <w:t>if the activated SCell(s) fulfills the measurement requirement as specified in TS 38.133:</w:t>
            </w:r>
          </w:p>
          <w:p>
            <w:pPr>
              <w:pStyle w:val="33"/>
              <w:keepNext w:val="0"/>
              <w:keepLines w:val="0"/>
              <w:pageBreakBefore w:val="0"/>
              <w:numPr>
                <w:ilvl w:val="0"/>
                <w:numId w:val="6"/>
              </w:numPr>
              <w:kinsoku/>
              <w:wordWrap/>
              <w:overflowPunct/>
              <w:topLinePunct w:val="0"/>
              <w:autoSpaceDE/>
              <w:autoSpaceDN/>
              <w:bidi w:val="0"/>
              <w:adjustRightInd/>
              <w:spacing w:after="0"/>
              <w:ind w:left="1084" w:leftChars="400" w:hanging="284" w:firstLineChars="0"/>
              <w:textAlignment w:val="auto"/>
              <w:rPr>
                <w:lang w:val="en-US"/>
              </w:rPr>
            </w:pPr>
            <w:r>
              <w:rPr>
                <w:rFonts w:eastAsia="宋体"/>
                <w:lang w:eastAsia="en-US"/>
              </w:rPr>
              <w:t xml:space="preserve">include a measurement reporting entry within the </w:t>
            </w:r>
            <w:r>
              <w:rPr>
                <w:rFonts w:eastAsia="宋体"/>
                <w:i/>
                <w:lang w:eastAsia="en-US"/>
              </w:rPr>
              <w:t>VarMeasReportList</w:t>
            </w:r>
            <w:r>
              <w:rPr>
                <w:rFonts w:eastAsia="宋体"/>
                <w:lang w:eastAsia="en-US"/>
              </w:rPr>
              <w:t xml:space="preserve"> for this </w:t>
            </w:r>
            <w:r>
              <w:rPr>
                <w:rFonts w:eastAsia="宋体"/>
                <w:i/>
                <w:lang w:eastAsia="en-US"/>
              </w:rPr>
              <w:t>measId</w:t>
            </w:r>
            <w:r>
              <w:rPr>
                <w:lang w:val="en-US"/>
              </w:rPr>
              <w:t>:</w:t>
            </w:r>
          </w:p>
          <w:p>
            <w:pPr>
              <w:pStyle w:val="33"/>
              <w:keepNext w:val="0"/>
              <w:keepLines w:val="0"/>
              <w:pageBreakBefore w:val="0"/>
              <w:numPr>
                <w:ilvl w:val="0"/>
                <w:numId w:val="0"/>
              </w:numPr>
              <w:kinsoku/>
              <w:wordWrap/>
              <w:overflowPunct/>
              <w:topLinePunct w:val="0"/>
              <w:autoSpaceDE/>
              <w:autoSpaceDN/>
              <w:bidi w:val="0"/>
              <w:adjustRightInd/>
              <w:spacing w:after="0"/>
              <w:ind w:left="1084" w:leftChars="400"/>
              <w:textAlignment w:val="auto"/>
              <w:rPr>
                <w:rFonts w:eastAsia="宋体"/>
                <w:lang w:eastAsia="zh-CN"/>
              </w:rPr>
            </w:pPr>
            <w:r>
              <w:rPr>
                <w:rFonts w:hint="eastAsia"/>
                <w:lang w:val="en-US" w:eastAsia="zh-CN"/>
              </w:rPr>
              <w:t xml:space="preserve">3&gt; </w:t>
            </w:r>
            <w:r>
              <w:rPr>
                <w:rFonts w:eastAsia="宋体"/>
                <w:lang w:eastAsia="en-US"/>
              </w:rPr>
              <w:t xml:space="preserve">set the </w:t>
            </w:r>
            <w:r>
              <w:rPr>
                <w:rFonts w:eastAsia="宋体"/>
                <w:i/>
                <w:lang w:eastAsia="en-US"/>
              </w:rPr>
              <w:t>numberOfReportsSent</w:t>
            </w:r>
            <w:r>
              <w:rPr>
                <w:rFonts w:eastAsia="宋体"/>
                <w:lang w:eastAsia="en-US"/>
              </w:rPr>
              <w:t xml:space="preserve"> defined within the </w:t>
            </w:r>
            <w:r>
              <w:rPr>
                <w:rFonts w:eastAsia="宋体"/>
                <w:i/>
                <w:lang w:eastAsia="en-US"/>
              </w:rPr>
              <w:t>VarMeasReportList</w:t>
            </w:r>
            <w:r>
              <w:rPr>
                <w:rFonts w:eastAsia="宋体"/>
                <w:lang w:eastAsia="en-US"/>
              </w:rPr>
              <w:t xml:space="preserve"> for this </w:t>
            </w:r>
            <w:r>
              <w:rPr>
                <w:rFonts w:eastAsia="宋体"/>
                <w:i/>
                <w:lang w:eastAsia="en-US"/>
              </w:rPr>
              <w:t>measId</w:t>
            </w:r>
            <w:r>
              <w:rPr>
                <w:rFonts w:eastAsia="宋体"/>
                <w:lang w:eastAsia="en-US"/>
              </w:rPr>
              <w:t xml:space="preserve"> to 0;</w:t>
            </w:r>
          </w:p>
          <w:p>
            <w:pPr>
              <w:pStyle w:val="64"/>
              <w:keepNext w:val="0"/>
              <w:keepLines w:val="0"/>
              <w:pageBreakBefore w:val="0"/>
              <w:numPr>
                <w:ilvl w:val="0"/>
                <w:numId w:val="0"/>
              </w:numPr>
              <w:kinsoku/>
              <w:wordWrap/>
              <w:overflowPunct/>
              <w:topLinePunct w:val="0"/>
              <w:autoSpaceDE/>
              <w:autoSpaceDN/>
              <w:bidi w:val="0"/>
              <w:adjustRightInd/>
              <w:spacing w:before="0"/>
              <w:ind w:left="1000" w:leftChars="500" w:firstLine="210" w:firstLineChars="100"/>
              <w:textAlignment w:val="auto"/>
              <w:rPr>
                <w:rFonts w:hint="default" w:eastAsia="宋体"/>
                <w:color w:val="auto"/>
                <w:sz w:val="20"/>
                <w:szCs w:val="20"/>
                <w:highlight w:val="none"/>
                <w:vertAlign w:val="baseline"/>
                <w:lang w:val="en-US" w:eastAsia="zh-CN"/>
              </w:rPr>
            </w:pPr>
            <w:r>
              <w:rPr>
                <w:rFonts w:eastAsia="宋体"/>
                <w:lang w:eastAsia="en-US"/>
              </w:rPr>
              <w:t>4&gt;</w:t>
            </w:r>
            <w:r>
              <w:rPr>
                <w:rFonts w:hint="eastAsia"/>
                <w:lang w:val="en-US" w:eastAsia="zh-CN"/>
              </w:rPr>
              <w:t xml:space="preserve"> </w:t>
            </w:r>
            <w:r>
              <w:rPr>
                <w:rFonts w:eastAsia="宋体"/>
                <w:lang w:eastAsia="en-US"/>
              </w:rPr>
              <w:t>initiate the measurement reporting procedure, as specified in 5.5.5.</w:t>
            </w:r>
          </w:p>
        </w:tc>
      </w:tr>
    </w:tbl>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 it is obviously RAN2 did not give any additional restriction, still same as legacy, i.e. any active serving cell</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s measurement results can be reported, depend on UE decision. </w:t>
      </w:r>
    </w:p>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Furthermore, based on legacy L3 reporting mechanism under CA, in fact UE has to report the available measurement results for all serving cell configured with </w:t>
      </w:r>
      <w:r>
        <w:rPr>
          <w:rFonts w:hint="eastAsia" w:eastAsia="宋体"/>
          <w:i/>
          <w:iCs/>
          <w:color w:val="auto"/>
          <w:sz w:val="20"/>
          <w:szCs w:val="20"/>
          <w:highlight w:val="none"/>
          <w:lang w:val="en-US" w:eastAsia="zh-CN"/>
        </w:rPr>
        <w:t>servingcellMO</w:t>
      </w:r>
      <w:r>
        <w:rPr>
          <w:rFonts w:hint="eastAsia" w:eastAsia="宋体"/>
          <w:color w:val="auto"/>
          <w:sz w:val="20"/>
          <w:szCs w:val="20"/>
          <w:highlight w:val="none"/>
          <w:lang w:val="en-US" w:eastAsia="zh-CN"/>
        </w:rPr>
        <w:t>, i.e. besides the target cell whose L3 report is requested by NW, still some other cell(s)</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s measurement results can be reported by the way in the same report signalling. The exact RAN2 specification in Clause 5.5.5.1 in [3] is shown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r>
              <w:t>The purpose of this procedure is to transfer measurement results from the UE to the network. The UE shall initiate this procedure only after successful AS security activation.</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33"/>
            </w:pPr>
            <w:r>
              <w:t>1&gt;</w:t>
            </w:r>
            <w:r>
              <w:tab/>
            </w:r>
            <w:r>
              <w:t xml:space="preserve">set the </w:t>
            </w:r>
            <w:r>
              <w:rPr>
                <w:i/>
              </w:rPr>
              <w:t>measId</w:t>
            </w:r>
            <w:r>
              <w:t xml:space="preserve"> to the measurement identity that triggered the measurement reporting;</w:t>
            </w:r>
          </w:p>
          <w:p>
            <w:pPr>
              <w:pStyle w:val="33"/>
              <w:rPr>
                <w:rFonts w:eastAsia="MS PGothic"/>
                <w:i/>
                <w:iCs/>
                <w:highlight w:val="none"/>
              </w:rPr>
            </w:pPr>
            <w:r>
              <w:rPr>
                <w:rFonts w:eastAsia="MS PGothic"/>
                <w:highlight w:val="none"/>
              </w:rPr>
              <w:t>1&gt;</w:t>
            </w:r>
            <w:r>
              <w:rPr>
                <w:rFonts w:eastAsia="MS PGothic"/>
                <w:highlight w:val="none"/>
              </w:rPr>
              <w:tab/>
            </w:r>
            <w:r>
              <w:rPr>
                <w:rFonts w:eastAsia="MS PGothic"/>
                <w:highlight w:val="none"/>
              </w:rPr>
              <w:t xml:space="preserve">for each serving cell configured with </w:t>
            </w:r>
            <w:r>
              <w:rPr>
                <w:i/>
                <w:highlight w:val="none"/>
              </w:rPr>
              <w:t>servingCellMO</w:t>
            </w:r>
            <w:r>
              <w:rPr>
                <w:rFonts w:eastAsia="MS PGothic"/>
                <w:iCs/>
                <w:highlight w:val="none"/>
              </w:rPr>
              <w:t>:</w:t>
            </w:r>
          </w:p>
          <w:p>
            <w:pPr>
              <w:pStyle w:val="60"/>
              <w:numPr>
                <w:ilvl w:val="0"/>
                <w:numId w:val="0"/>
              </w:numPr>
              <w:ind w:left="600" w:leftChars="300"/>
              <w:rPr>
                <w:rFonts w:eastAsia="MS PGothic"/>
              </w:rPr>
            </w:pPr>
            <w:r>
              <w:rPr>
                <w:rFonts w:eastAsia="MS PGothic"/>
              </w:rPr>
              <w:t>2&gt;</w:t>
            </w:r>
            <w:r>
              <w:rPr>
                <w:rFonts w:eastAsia="MS PGothic"/>
              </w:rPr>
              <w:tab/>
            </w:r>
            <w:r>
              <w:rPr>
                <w:rFonts w:eastAsia="MS PGothic"/>
              </w:rPr>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pPr>
              <w:pStyle w:val="62"/>
              <w:numPr>
                <w:ilvl w:val="0"/>
                <w:numId w:val="0"/>
              </w:numPr>
              <w:ind w:left="1135" w:leftChars="0"/>
              <w:rPr>
                <w:rFonts w:eastAsia="MS PGothic"/>
              </w:rPr>
            </w:pPr>
            <w:r>
              <w:rPr>
                <w:rFonts w:eastAsia="MS PGothic"/>
              </w:rPr>
              <w:t>3&gt;</w:t>
            </w:r>
            <w:r>
              <w:rPr>
                <w:rFonts w:eastAsia="MS PGothic"/>
              </w:rPr>
              <w:tab/>
            </w:r>
            <w:r>
              <w:rPr>
                <w:rFonts w:eastAsia="MS PGothic"/>
              </w:rPr>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pPr>
              <w:pStyle w:val="64"/>
              <w:numPr>
                <w:ilvl w:val="0"/>
                <w:numId w:val="0"/>
              </w:numPr>
              <w:ind w:left="1418" w:leftChars="0"/>
              <w:rPr>
                <w:rFonts w:eastAsia="MS PGothic"/>
              </w:rPr>
            </w:pPr>
            <w:r>
              <w:rPr>
                <w:rFonts w:eastAsia="MS PGothic"/>
              </w:rPr>
              <w:t>4&gt;</w:t>
            </w:r>
            <w:r>
              <w:rPr>
                <w:rFonts w:eastAsia="MS PGothic"/>
              </w:rP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pPr>
              <w:pStyle w:val="60"/>
              <w:numPr>
                <w:ilvl w:val="0"/>
                <w:numId w:val="0"/>
              </w:numPr>
              <w:ind w:left="600" w:leftChars="300"/>
              <w:rPr>
                <w:rFonts w:eastAsia="MS PGothic"/>
              </w:rPr>
            </w:pPr>
            <w:r>
              <w:rPr>
                <w:rFonts w:eastAsia="MS PGothic"/>
              </w:rPr>
              <w:t>2&gt;</w:t>
            </w:r>
            <w:r>
              <w:rPr>
                <w:rFonts w:eastAsia="MS PGothic"/>
              </w:rPr>
              <w:tab/>
            </w:r>
            <w:r>
              <w:rPr>
                <w:rFonts w:eastAsia="MS PGothic"/>
              </w:rPr>
              <w:t>else</w:t>
            </w:r>
            <w:r>
              <w:rPr>
                <w:rFonts w:eastAsia="MS PGothic"/>
                <w:iCs/>
              </w:rPr>
              <w:t>:</w:t>
            </w:r>
          </w:p>
          <w:p>
            <w:pPr>
              <w:pStyle w:val="62"/>
              <w:numPr>
                <w:ilvl w:val="0"/>
                <w:numId w:val="0"/>
              </w:numPr>
              <w:ind w:left="1135" w:leftChars="0"/>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pPr>
              <w:pStyle w:val="64"/>
              <w:numPr>
                <w:ilvl w:val="0"/>
                <w:numId w:val="0"/>
              </w:numPr>
              <w:ind w:left="1418" w:leftChars="0"/>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pPr>
              <w:pStyle w:val="62"/>
              <w:numPr>
                <w:ilvl w:val="0"/>
                <w:numId w:val="0"/>
              </w:numPr>
              <w:ind w:left="1135" w:leftChars="0"/>
              <w:rPr>
                <w:rFonts w:eastAsia="MS PGothic"/>
              </w:rPr>
            </w:pPr>
            <w:r>
              <w:rPr>
                <w:rFonts w:eastAsia="MS PGothic"/>
              </w:rPr>
              <w:t>3&gt;</w:t>
            </w:r>
            <w:r>
              <w:rPr>
                <w:rFonts w:eastAsia="MS PGothic"/>
              </w:rPr>
              <w:tab/>
            </w:r>
            <w:r>
              <w:rPr>
                <w:rFonts w:eastAsia="MS PGothic"/>
              </w:rPr>
              <w:t>else if CSI-RS based serving cell measurements are available:</w:t>
            </w:r>
          </w:p>
          <w:p>
            <w:pPr>
              <w:widowControl w:val="0"/>
              <w:numPr>
                <w:ilvl w:val="0"/>
                <w:numId w:val="0"/>
              </w:numPr>
              <w:ind w:leftChars="700"/>
              <w:jc w:val="both"/>
              <w:rPr>
                <w:rFonts w:hint="default" w:eastAsia="宋体"/>
                <w:color w:val="auto"/>
                <w:sz w:val="20"/>
                <w:szCs w:val="20"/>
                <w:highlight w:val="none"/>
                <w:vertAlign w:val="baseline"/>
                <w:lang w:val="en-US" w:eastAsia="zh-CN"/>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ind w:leftChars="0"/>
        <w:jc w:val="both"/>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Based on both RAN2 signalling design for newly introdueced L3 reporting and legacy RAN2 spec, no additional restriction on which cell can be reported.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ind w:leftChars="0"/>
        <w:jc w:val="both"/>
        <w:textAlignment w:val="auto"/>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After review the background, we list the options proposed in last RAN4 meeting [4]:</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rPr>
            </w:pPr>
            <w:r>
              <w:rPr>
                <w:rFonts w:eastAsia="宋体"/>
              </w:rPr>
              <w:t xml:space="preserve">Option 1(HW): </w:t>
            </w:r>
          </w:p>
          <w:p>
            <w:pPr>
              <w:pStyle w:val="31"/>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rPr>
            </w:pPr>
            <w:r>
              <w:t>For single SCell activation, the measurement report of the to-be-activated SCell should be valid, and the requirements applied the SCell is activated based on the report of the to-be-activated SCell (e.g. TCI configuration).</w:t>
            </w:r>
          </w:p>
          <w:p>
            <w:pPr>
              <w:pStyle w:val="31"/>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rPr>
            </w:pPr>
            <w:r>
              <w:rPr>
                <w:rFonts w:eastAsia="宋体"/>
              </w:rPr>
              <w:t>For multiple CC activation in the same FR2 band when more than one to-be-activated SCell are configured with servingCellMO, considering following two options:</w:t>
            </w:r>
          </w:p>
          <w:p>
            <w:pPr>
              <w:pStyle w:val="31"/>
              <w:keepNext w:val="0"/>
              <w:keepLines w:val="0"/>
              <w:pageBreakBefore w:val="0"/>
              <w:widowControl w:val="0"/>
              <w:numPr>
                <w:ilvl w:val="3"/>
                <w:numId w:val="3"/>
              </w:numPr>
              <w:kinsoku/>
              <w:wordWrap/>
              <w:overflowPunct/>
              <w:topLinePunct w:val="0"/>
              <w:autoSpaceDE/>
              <w:autoSpaceDN/>
              <w:bidi w:val="0"/>
              <w:adjustRightInd/>
              <w:snapToGrid/>
              <w:ind w:hanging="363" w:firstLineChars="0"/>
              <w:textAlignment w:val="auto"/>
              <w:rPr>
                <w:rFonts w:eastAsia="宋体"/>
              </w:rPr>
            </w:pPr>
            <w:r>
              <w:rPr>
                <w:rFonts w:eastAsia="宋体"/>
              </w:rPr>
              <w:t>Option 1-1: Only the latest result is considered as valid when the results from the same FR2 band are different (in terms of SSB index), and UE only reports the latest result to NW.</w:t>
            </w:r>
          </w:p>
          <w:p>
            <w:pPr>
              <w:pStyle w:val="31"/>
              <w:keepNext w:val="0"/>
              <w:keepLines w:val="0"/>
              <w:pageBreakBefore w:val="0"/>
              <w:widowControl w:val="0"/>
              <w:numPr>
                <w:ilvl w:val="3"/>
                <w:numId w:val="3"/>
              </w:numPr>
              <w:kinsoku/>
              <w:wordWrap/>
              <w:overflowPunct/>
              <w:topLinePunct w:val="0"/>
              <w:autoSpaceDE/>
              <w:autoSpaceDN/>
              <w:bidi w:val="0"/>
              <w:adjustRightInd/>
              <w:snapToGrid/>
              <w:ind w:hanging="363" w:firstLineChars="0"/>
              <w:textAlignment w:val="auto"/>
              <w:rPr>
                <w:rFonts w:eastAsia="宋体"/>
              </w:rPr>
            </w:pPr>
            <w:r>
              <w:rPr>
                <w:rFonts w:eastAsia="宋体"/>
              </w:rPr>
              <w:t>Option 1-2: Results from different Cells in the same FR2 band are also valid even the results are different. UE reports the results to NW, and it is up to NW which result to be used for SCell activation.</w:t>
            </w:r>
          </w:p>
          <w:p>
            <w:pPr>
              <w:pStyle w:val="31"/>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rPr>
            </w:pPr>
            <w:r>
              <w:rPr>
                <w:rFonts w:eastAsia="宋体"/>
              </w:rPr>
              <w:t xml:space="preserve">Option 2(Ericsson): </w:t>
            </w:r>
          </w:p>
          <w:p>
            <w:pPr>
              <w:pStyle w:val="31"/>
              <w:keepNext w:val="0"/>
              <w:keepLines w:val="0"/>
              <w:pageBreakBefore w:val="0"/>
              <w:widowControl w:val="0"/>
              <w:numPr>
                <w:ilvl w:val="3"/>
                <w:numId w:val="3"/>
              </w:numPr>
              <w:kinsoku/>
              <w:wordWrap/>
              <w:overflowPunct/>
              <w:topLinePunct w:val="0"/>
              <w:autoSpaceDE/>
              <w:autoSpaceDN/>
              <w:bidi w:val="0"/>
              <w:adjustRightInd/>
              <w:snapToGrid/>
              <w:ind w:hanging="363" w:firstLineChars="0"/>
              <w:textAlignment w:val="auto"/>
              <w:rPr>
                <w:rFonts w:eastAsia="宋体"/>
              </w:rPr>
            </w:pPr>
            <w:r>
              <w:rPr>
                <w:rFonts w:eastAsia="宋体"/>
              </w:rPr>
              <w:t>For multiple CC activation when more than one to-be-activated SCell are configured with servingCellMO, it is up to UE implementation to report CC of SCell to be activated result or the other CC (if it is latest) or both.</w:t>
            </w:r>
          </w:p>
          <w:p>
            <w:pPr>
              <w:pStyle w:val="31"/>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rPr>
            </w:pPr>
            <w:r>
              <w:rPr>
                <w:rFonts w:eastAsia="宋体"/>
              </w:rPr>
              <w:t>Option 3(Moderator):</w:t>
            </w:r>
          </w:p>
          <w:p>
            <w:pPr>
              <w:pStyle w:val="31"/>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highlight w:val="none"/>
              </w:rPr>
            </w:pPr>
            <w:r>
              <w:t>For single SCell activation, the measurement report of the to-be-activated SCell should be valid, and the requirements applied the SCell is activated based on the report of the to-be-activated SCell (e.g. TCI configura</w:t>
            </w:r>
            <w:r>
              <w:rPr>
                <w:highlight w:val="none"/>
              </w:rPr>
              <w:t>tion). (from Huawei option 1)</w:t>
            </w:r>
          </w:p>
          <w:p>
            <w:pPr>
              <w:pStyle w:val="31"/>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highlight w:val="none"/>
              </w:rPr>
            </w:pPr>
            <w:r>
              <w:rPr>
                <w:rFonts w:eastAsia="宋体"/>
                <w:highlight w:val="none"/>
              </w:rPr>
              <w:t>For multiple CC activation in the same FR2 band when more than one to-be-activated SCell are configured with servingCellMO,</w:t>
            </w:r>
          </w:p>
          <w:p>
            <w:pPr>
              <w:pStyle w:val="31"/>
              <w:keepNext w:val="0"/>
              <w:keepLines w:val="0"/>
              <w:pageBreakBefore w:val="0"/>
              <w:widowControl w:val="0"/>
              <w:numPr>
                <w:ilvl w:val="3"/>
                <w:numId w:val="3"/>
              </w:numPr>
              <w:kinsoku/>
              <w:wordWrap/>
              <w:overflowPunct/>
              <w:topLinePunct w:val="0"/>
              <w:autoSpaceDE/>
              <w:autoSpaceDN/>
              <w:bidi w:val="0"/>
              <w:adjustRightInd/>
              <w:snapToGrid/>
              <w:ind w:hanging="363" w:firstLineChars="0"/>
              <w:textAlignment w:val="auto"/>
              <w:rPr>
                <w:rFonts w:eastAsia="宋体"/>
                <w:highlight w:val="none"/>
              </w:rPr>
            </w:pPr>
            <w:r>
              <w:rPr>
                <w:rFonts w:eastAsia="宋体"/>
                <w:highlight w:val="none"/>
              </w:rPr>
              <w:t>It is up to UE implementation to report CC of SCell to be activated result or the other CC (if it is latest) or both. (from Ericsson option 2)</w:t>
            </w:r>
          </w:p>
          <w:p>
            <w:pPr>
              <w:pStyle w:val="31"/>
              <w:keepNext w:val="0"/>
              <w:keepLines w:val="0"/>
              <w:pageBreakBefore w:val="0"/>
              <w:widowControl w:val="0"/>
              <w:numPr>
                <w:ilvl w:val="3"/>
                <w:numId w:val="3"/>
              </w:numPr>
              <w:kinsoku/>
              <w:wordWrap/>
              <w:overflowPunct/>
              <w:topLinePunct w:val="0"/>
              <w:autoSpaceDE/>
              <w:autoSpaceDN/>
              <w:bidi w:val="0"/>
              <w:adjustRightInd/>
              <w:snapToGrid/>
              <w:ind w:hanging="363" w:firstLineChars="0"/>
              <w:textAlignment w:val="auto"/>
              <w:rPr>
                <w:rFonts w:hint="default" w:eastAsia="宋体"/>
                <w:color w:val="auto"/>
                <w:sz w:val="20"/>
                <w:szCs w:val="20"/>
                <w:highlight w:val="none"/>
                <w:vertAlign w:val="baseline"/>
                <w:lang w:val="en-US" w:eastAsia="zh-CN"/>
              </w:rPr>
            </w:pPr>
            <w:r>
              <w:rPr>
                <w:rFonts w:eastAsia="宋体"/>
                <w:highlight w:val="none"/>
              </w:rPr>
              <w:t>Results from different Cells in the same FR2 band are also valid even the results are different. UE reports the results to NW, and it is up to NW which result to be used for SCell activation. (from Huawei option 1-2)</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ind w:leftChars="0"/>
        <w:jc w:val="both"/>
        <w:textAlignment w:val="auto"/>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noted some company believes the essential reason to propose this issue lies in the newly introduced L3 reporting implies additional validication operation at UE side compared with legacy known case. We have different view on this point.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ind w:leftChars="0"/>
        <w:jc w:val="both"/>
        <w:textAlignment w:val="auto"/>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RAN4 really demands the UE to report valid L3 reporting after SCell activation command, and the definition of valid is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numPr>
                <w:ilvl w:val="0"/>
                <w:numId w:val="0"/>
              </w:numPr>
              <w:overflowPunct/>
              <w:autoSpaceDE/>
              <w:autoSpaceDN/>
              <w:adjustRightInd/>
              <w:spacing w:after="120"/>
              <w:textAlignment w:val="auto"/>
              <w:rPr>
                <w:rFonts w:eastAsia="宋体"/>
                <w:bCs/>
                <w:color w:val="auto"/>
              </w:rPr>
            </w:pPr>
            <w:r>
              <w:rPr>
                <w:rFonts w:eastAsia="宋体"/>
                <w:bCs/>
                <w:color w:val="auto"/>
                <w:highlight w:val="green"/>
              </w:rPr>
              <w:t>Agreement</w:t>
            </w:r>
            <w:r>
              <w:rPr>
                <w:rFonts w:eastAsia="宋体"/>
                <w:bCs/>
                <w:color w:val="auto"/>
              </w:rPr>
              <w:t>:</w:t>
            </w:r>
          </w:p>
          <w:p>
            <w:pPr>
              <w:pStyle w:val="31"/>
              <w:numPr>
                <w:ilvl w:val="1"/>
                <w:numId w:val="3"/>
              </w:numPr>
              <w:overflowPunct/>
              <w:autoSpaceDE/>
              <w:autoSpaceDN/>
              <w:adjustRightInd/>
              <w:spacing w:after="120"/>
              <w:ind w:firstLineChars="0"/>
              <w:textAlignment w:val="auto"/>
              <w:rPr>
                <w:bCs/>
                <w:color w:val="auto"/>
              </w:rPr>
            </w:pPr>
            <w:r>
              <w:rPr>
                <w:bCs/>
                <w:color w:val="auto"/>
              </w:rPr>
              <w:t xml:space="preserve">The report of L3 measurement result after SCell activation command needs to be valid. </w:t>
            </w:r>
          </w:p>
          <w:p>
            <w:pPr>
              <w:pStyle w:val="31"/>
              <w:numPr>
                <w:ilvl w:val="1"/>
                <w:numId w:val="3"/>
              </w:numPr>
              <w:overflowPunct/>
              <w:autoSpaceDE/>
              <w:autoSpaceDN/>
              <w:adjustRightInd/>
              <w:spacing w:after="120"/>
              <w:ind w:firstLineChars="0"/>
              <w:textAlignment w:val="auto"/>
              <w:rPr>
                <w:bCs/>
                <w:color w:val="auto"/>
              </w:rPr>
            </w:pPr>
            <w:r>
              <w:rPr>
                <w:bCs/>
                <w:color w:val="auto"/>
              </w:rPr>
              <w:t>The report of L3 measurement result is considered as valid only if it fulfils the measurement requirement for a deactivated SCell as specified in TS38.133 Table 9.2.5.2-3 (for FR1) and Table 9.2.5.2-4 (for FR2) and accuracy requirements in TS 38.133 Clause 10.</w:t>
            </w:r>
          </w:p>
          <w:p>
            <w:pPr>
              <w:pStyle w:val="31"/>
              <w:numPr>
                <w:ilvl w:val="0"/>
                <w:numId w:val="0"/>
              </w:numPr>
              <w:overflowPunct/>
              <w:autoSpaceDE/>
              <w:autoSpaceDN/>
              <w:adjustRightInd/>
              <w:spacing w:after="120"/>
              <w:textAlignment w:val="auto"/>
              <w:rPr>
                <w:rFonts w:eastAsia="宋体"/>
                <w:bCs/>
                <w:color w:val="auto"/>
              </w:rPr>
            </w:pPr>
            <w:r>
              <w:rPr>
                <w:rFonts w:eastAsia="宋体"/>
                <w:bCs/>
                <w:color w:val="auto"/>
                <w:highlight w:val="green"/>
              </w:rPr>
              <w:t>Agreement</w:t>
            </w:r>
            <w:r>
              <w:rPr>
                <w:rFonts w:eastAsia="宋体"/>
                <w:bCs/>
                <w:color w:val="auto"/>
              </w:rPr>
              <w:t>:</w:t>
            </w:r>
          </w:p>
          <w:p>
            <w:pPr>
              <w:pStyle w:val="31"/>
              <w:numPr>
                <w:ilvl w:val="1"/>
                <w:numId w:val="3"/>
              </w:numPr>
              <w:overflowPunct/>
              <w:autoSpaceDE/>
              <w:autoSpaceDN/>
              <w:adjustRightInd/>
              <w:spacing w:after="120"/>
              <w:ind w:firstLineChars="0"/>
              <w:textAlignment w:val="auto"/>
              <w:rPr>
                <w:rFonts w:hint="default" w:eastAsia="宋体"/>
                <w:color w:val="auto"/>
                <w:sz w:val="20"/>
                <w:szCs w:val="20"/>
                <w:highlight w:val="none"/>
                <w:vertAlign w:val="baseline"/>
                <w:lang w:val="en-US" w:eastAsia="zh-CN"/>
              </w:rPr>
            </w:pPr>
            <w:r>
              <w:rPr>
                <w:rFonts w:eastAsia="宋体"/>
                <w:bCs/>
                <w:color w:val="auto"/>
              </w:rPr>
              <w:tab/>
            </w:r>
            <w:r>
              <w:rPr>
                <w:bCs/>
                <w:color w:val="auto"/>
              </w:rPr>
              <w:t xml:space="preserve">UE does not need to report L3 measurement reporting after receiving SCell activation command if UE has no valid measurement results. </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ind w:leftChars="0"/>
        <w:jc w:val="both"/>
        <w:textAlignment w:val="auto"/>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It is obvious that in fact not any additional condition were defined, the two demands just require the L3 reporting to meet the legacy measurement requirements and legacy accuracy requirements. To our understanding, even for the legacy L3 reporting with measurement results on the neighbour cell and deactivated SCell, which should meet the measurement requirements and accuracy requirements. This can be demonstrated by the legacy intra-frequency RRM measurement report test cases and the following reporting chapters. Therefore, we do not believe there is additional verification operation for the L3 reporting at UE side.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spacing w:line="240" w:lineRule="auto"/>
            </w:pPr>
            <w:r>
              <w:t>9.2.4.1</w:t>
            </w:r>
            <w:r>
              <w:tab/>
            </w:r>
            <w:r>
              <w:t>Periodic Reporting</w:t>
            </w:r>
          </w:p>
          <w:p>
            <w:pPr>
              <w:spacing w:line="240" w:lineRule="auto"/>
              <w:rPr>
                <w:rFonts w:cs="v4.2.0"/>
              </w:rPr>
            </w:pPr>
            <w:r>
              <w:rPr>
                <w:rFonts w:cs="v4.2.0"/>
              </w:rPr>
              <w:t>Reported RSRP, RSRQ, and RS-SINR measurements contained in periodic measurement reports shall meet the requirements in clauses 10.1.2.1 (RSRP for FR1), 10.1.3.1 (RSRP for FR2), 10.1.7.1 (RSRQ for FR1), 10.1.8.1 (RSRQ for FR2), 10.1.12.1 (RS-SINR for FR1) and 10.1.13.1 (RS-SINR for FR2).</w:t>
            </w:r>
          </w:p>
          <w:p>
            <w:pPr>
              <w:pStyle w:val="5"/>
              <w:spacing w:line="240" w:lineRule="auto"/>
            </w:pPr>
            <w:r>
              <w:t>9.2.4.2</w:t>
            </w:r>
            <w:r>
              <w:tab/>
            </w:r>
            <w:r>
              <w:t>Event-triggered Periodic Reporting</w:t>
            </w:r>
          </w:p>
          <w:p>
            <w:pPr>
              <w:spacing w:line="240" w:lineRule="auto"/>
              <w:rPr>
                <w:rFonts w:cs="v4.2.0"/>
              </w:rPr>
            </w:pPr>
            <w:r>
              <w:rPr>
                <w:rFonts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pPr>
              <w:spacing w:line="240" w:lineRule="auto"/>
              <w:rPr>
                <w:rFonts w:cs="v4.2.0"/>
              </w:rPr>
            </w:pPr>
            <w:r>
              <w:rPr>
                <w:rFonts w:cs="v4.2.0"/>
              </w:rPr>
              <w:t>The first report in event triggered periodic measurement reporting shall meet the requirements specified in clause </w:t>
            </w:r>
            <w:r>
              <w:t>9.2.4.3.</w:t>
            </w:r>
          </w:p>
          <w:p>
            <w:pPr>
              <w:pStyle w:val="5"/>
              <w:spacing w:line="240" w:lineRule="auto"/>
            </w:pPr>
            <w:r>
              <w:t>9.2.4.3</w:t>
            </w:r>
            <w:r>
              <w:tab/>
            </w:r>
            <w:r>
              <w:t>Event Triggered Reporting</w:t>
            </w:r>
          </w:p>
          <w:p>
            <w:pPr>
              <w:spacing w:line="240" w:lineRule="auto"/>
              <w:rPr>
                <w:rFonts w:hint="default" w:eastAsia="宋体"/>
                <w:color w:val="auto"/>
                <w:sz w:val="20"/>
                <w:szCs w:val="20"/>
                <w:highlight w:val="none"/>
                <w:vertAlign w:val="baseline"/>
                <w:lang w:val="en-US" w:eastAsia="zh-CN"/>
              </w:rPr>
            </w:pPr>
            <w:r>
              <w:t xml:space="preserve">Reported RSRP, RSRQ, and RS-SINR measurements contained in event triggered measurement reports shall meet the requirements in clauses </w:t>
            </w:r>
            <w:r>
              <w:rPr>
                <w:rFonts w:cs="v4.2.0"/>
              </w:rPr>
              <w:t>10.1.2.1 (RSRP for FR1), 10.1.3.1 (RSRP for FR2), 10.1.7.1 (RSRQ for FR1), 10.1.8.1 (RSRQ for FR2), 10.1.12.1 (RS-SINR for FR1) and 10.1.13.1 (RS-SINR for FR2).</w:t>
            </w:r>
          </w:p>
        </w:tc>
      </w:tr>
    </w:tbl>
    <w:p>
      <w:pPr>
        <w:pStyle w:val="12"/>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b/>
          <w:bCs/>
          <w:color w:val="auto"/>
          <w:sz w:val="20"/>
          <w:szCs w:val="20"/>
          <w:u w:val="single"/>
          <w:lang w:val="en-US" w:eastAsia="zh-CN"/>
        </w:rPr>
      </w:pPr>
      <w:r>
        <w:rPr>
          <w:rFonts w:hint="eastAsia" w:eastAsia="宋体" w:cs="Times New Roman"/>
          <w:b/>
          <w:bCs/>
          <w:color w:val="auto"/>
          <w:sz w:val="20"/>
          <w:szCs w:val="20"/>
          <w:highlight w:val="none"/>
          <w:lang w:val="en-US" w:eastAsia="zh-CN" w:bidi="ar-SA"/>
        </w:rPr>
        <w:t xml:space="preserve">Observation 1: The definition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valid</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only requires the L3 reporting to meet the legacy measurement requirements and legacy accuracy requirements, no additional demands. Which would not lead to additional validation operation at UE side.</w:t>
      </w:r>
    </w:p>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above observation, we can further discuss two cases: single SCell activation and multiple SCell activation.</w:t>
      </w:r>
    </w:p>
    <w:p>
      <w:pPr>
        <w:widowControl w:val="0"/>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single SCell activation, if UE has valid L3 report for the single to-be-activated SCell, then UE report such L3 reporting, at the same time, UE can decide whether to report the L3 reporting for other cells configured with servingCellMO by the way. After receiving the L3 reporting, if there is L3 reporting for the to-be-activated SCell, NW can apply such report to accelerate the SCell activation. Regarding other report on other cells, whether and how to use them, depend on NW decision. During the whole procedure, we can not see any ambiguous.</w:t>
      </w:r>
    </w:p>
    <w:p>
      <w:pPr>
        <w:widowControl w:val="0"/>
        <w:numPr>
          <w:ilvl w:val="0"/>
          <w:numId w:val="0"/>
        </w:numPr>
        <w:ind w:leftChars="0"/>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multiple SCell activation, if NW triggers two SCells activation, then after receiving the multiple SCell activation command, UE firstly check whether valid L3 reporting it has for the two to-be-activated SCells. If UE has both, then report the two to-be-activated SCell</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s L3 reporting. If UE has one of them, then reports a single to-be-activated SCell</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s L3 reporging. Whether and how many to report, it does not matter with the report content. We can not understand why some company to concern the same or different SSB index for the two to-be-activated SCells. Besides the two to-be-activated SCells, similar as in single SCell activation, UE can decide whether to report other cells</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reporting configured with servingCellMO by the way. If receiving the L3 reporting, NW firstly pick the measurement results for the two to-be-activated SCells, to accelerate the multi-SCell activation. If only one to-be-activated SCell</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s measruement results received, then faster SCell activation only happens on this to-be-activated SCell. Regarding the receiving measurement results on other cells configured with servingCellMO, NW can decide whether and how to apply such measuremetn results.</w:t>
      </w:r>
    </w:p>
    <w:p>
      <w:pPr>
        <w:pStyle w:val="12"/>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both single and multiple SCell activation, </w:t>
      </w:r>
    </w:p>
    <w:p>
      <w:pPr>
        <w:pStyle w:val="12"/>
        <w:keepNext w:val="0"/>
        <w:keepLines w:val="0"/>
        <w:pageBreakBefore w:val="0"/>
        <w:widowControl/>
        <w:numPr>
          <w:ilvl w:val="0"/>
          <w:numId w:val="7"/>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From the UE perspective, UE reports valid L3 reporting for the to-be-activated SCell(s), regardless same or different measurement results. Besides the to-be-activated SCell(s), UE can decide whether and which cell(s)</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measurement results configured with servingCellMO can be reported by the way.</w:t>
      </w:r>
    </w:p>
    <w:p>
      <w:pPr>
        <w:pStyle w:val="12"/>
        <w:keepNext w:val="0"/>
        <w:keepLines w:val="0"/>
        <w:pageBreakBefore w:val="0"/>
        <w:widowControl/>
        <w:numPr>
          <w:ilvl w:val="0"/>
          <w:numId w:val="7"/>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Form the NW perspective, if receiving the L3 reporting, NW picks the measurement results on the to-be-activated SCell(s) to accelerate the SCell activation procedure. Regarding other cells measurement results, whether and how to apply, depend on NW decision.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2"/>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performance part of</w:t>
      </w:r>
      <w:r>
        <w:rPr>
          <w:rFonts w:hint="eastAsia" w:eastAsia="宋体"/>
          <w:color w:val="auto"/>
          <w:sz w:val="20"/>
          <w:szCs w:val="20"/>
          <w:lang w:val="en-US" w:eastAsia="zh-CN"/>
        </w:rPr>
        <w:t xml:space="preserve"> SCell activation enhancements</w:t>
      </w:r>
      <w:r>
        <w:rPr>
          <w:rFonts w:eastAsia="宋体"/>
          <w:bCs/>
          <w:color w:val="auto"/>
          <w:sz w:val="20"/>
          <w:szCs w:val="20"/>
          <w:lang w:val="en-GB" w:eastAsia="zh-CN"/>
        </w:rPr>
        <w:t>:</w:t>
      </w:r>
    </w:p>
    <w:p>
      <w:pPr>
        <w:pStyle w:val="12"/>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The definition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valid</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only requires the L3 reporting to meet the legacy measurement requirements and legacy accuracy requirements, no additional demands. Which would not lead to additional validation operation at UE side.</w:t>
      </w:r>
    </w:p>
    <w:p>
      <w:pPr>
        <w:pStyle w:val="12"/>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both single and multiple SCell activation, </w:t>
      </w:r>
    </w:p>
    <w:p>
      <w:pPr>
        <w:pStyle w:val="12"/>
        <w:keepNext w:val="0"/>
        <w:keepLines w:val="0"/>
        <w:pageBreakBefore w:val="0"/>
        <w:widowControl/>
        <w:numPr>
          <w:ilvl w:val="0"/>
          <w:numId w:val="7"/>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From the UE perspective, UE reports valid L3 reporting for the to-be-activated SCell(s), regardless same or different measurement results. Besides the to-be-activated SCell(s), UE can decide whether and which cell(s)</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measurement results configured with servingCellMO can be reported by the way.</w:t>
      </w:r>
    </w:p>
    <w:p>
      <w:pPr>
        <w:pStyle w:val="12"/>
        <w:keepNext w:val="0"/>
        <w:keepLines w:val="0"/>
        <w:pageBreakBefore w:val="0"/>
        <w:widowControl/>
        <w:numPr>
          <w:ilvl w:val="0"/>
          <w:numId w:val="7"/>
        </w:numPr>
        <w:kinsoku/>
        <w:wordWrap/>
        <w:overflowPunct/>
        <w:topLinePunct w:val="0"/>
        <w:autoSpaceDE/>
        <w:autoSpaceDN/>
        <w:bidi w:val="0"/>
        <w:adjustRightInd/>
        <w:snapToGrid/>
        <w:spacing w:before="157" w:beforeLines="50"/>
        <w:ind w:left="420" w:leftChars="0" w:hanging="420" w:firstLine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Form the NW perspective, if receiving the L3 reporting, NW picks the measurement results on the to-be-activated SCell(s) to accelerate the SCell activation procedure. Regarding other cells measurement results, whether and how to apply, depend on NW decision.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numPr>
          <w:ilvl w:val="0"/>
          <w:numId w:val="8"/>
        </w:numPr>
        <w:ind w:leftChars="0"/>
        <w:rPr>
          <w:rFonts w:hint="eastAsia"/>
          <w:color w:val="auto"/>
          <w:lang w:val="en-US" w:eastAsia="zh-CN"/>
        </w:rPr>
      </w:pPr>
      <w:r>
        <w:rPr>
          <w:rFonts w:hint="eastAsia"/>
          <w:color w:val="auto"/>
          <w:lang w:val="en-US" w:eastAsia="zh-CN"/>
        </w:rPr>
        <w:t>R4-2321521</w:t>
      </w:r>
      <w:r>
        <w:rPr>
          <w:rFonts w:hint="default"/>
          <w:color w:val="auto"/>
          <w:lang w:val="en-US" w:eastAsia="zh-CN"/>
        </w:rPr>
        <w:t>“WF for [108bis][204] NR_RRM_enh3_part1”</w:t>
      </w:r>
      <w:r>
        <w:rPr>
          <w:rFonts w:hint="eastAsia"/>
          <w:color w:val="auto"/>
          <w:lang w:val="en-US" w:eastAsia="zh-CN"/>
        </w:rPr>
        <w:t>, Apple</w:t>
      </w:r>
    </w:p>
    <w:p>
      <w:pPr>
        <w:pStyle w:val="7"/>
        <w:numPr>
          <w:ilvl w:val="0"/>
          <w:numId w:val="8"/>
        </w:numPr>
        <w:ind w:leftChars="0"/>
        <w:rPr>
          <w:rFonts w:hint="eastAsia"/>
          <w:color w:val="auto"/>
          <w:lang w:val="en-US" w:eastAsia="zh-CN"/>
        </w:rPr>
      </w:pPr>
      <w:r>
        <w:rPr>
          <w:rFonts w:hint="eastAsia"/>
          <w:color w:val="auto"/>
          <w:lang w:val="en-US" w:eastAsia="zh-CN"/>
        </w:rPr>
        <w:t xml:space="preserve">R2-2313936 </w:t>
      </w:r>
      <w:r>
        <w:rPr>
          <w:rFonts w:hint="default"/>
          <w:color w:val="auto"/>
          <w:lang w:val="en-US" w:eastAsia="zh-CN"/>
        </w:rPr>
        <w:t>“Introduction of FR2 SCell enhancements”</w:t>
      </w:r>
      <w:r>
        <w:rPr>
          <w:rFonts w:hint="eastAsia"/>
          <w:color w:val="auto"/>
          <w:lang w:val="en-US" w:eastAsia="zh-CN"/>
        </w:rPr>
        <w:t>, Apple, CATT, Ericsson, Xiaomi, Qualcomm Incorporated, Huawei, HiSilicon, ZTE</w:t>
      </w:r>
    </w:p>
    <w:p>
      <w:pPr>
        <w:pStyle w:val="7"/>
        <w:numPr>
          <w:ilvl w:val="0"/>
          <w:numId w:val="8"/>
        </w:numPr>
        <w:ind w:leftChars="0"/>
        <w:rPr>
          <w:rFonts w:hint="eastAsia"/>
          <w:color w:val="auto"/>
          <w:lang w:val="en-US" w:eastAsia="zh-CN"/>
        </w:rPr>
      </w:pPr>
      <w:r>
        <w:rPr>
          <w:rFonts w:hint="eastAsia"/>
          <w:color w:val="auto"/>
          <w:lang w:val="en-US" w:eastAsia="zh-CN"/>
        </w:rPr>
        <w:t>TS 38.331-i20</w:t>
      </w:r>
    </w:p>
    <w:p>
      <w:pPr>
        <w:pStyle w:val="7"/>
        <w:numPr>
          <w:ilvl w:val="0"/>
          <w:numId w:val="8"/>
        </w:numPr>
        <w:ind w:leftChars="0"/>
        <w:rPr>
          <w:rFonts w:hint="eastAsia"/>
          <w:color w:val="auto"/>
          <w:lang w:val="en-US" w:eastAsia="zh-CN"/>
        </w:rPr>
      </w:pPr>
      <w:r>
        <w:rPr>
          <w:rFonts w:hint="eastAsia"/>
          <w:color w:val="auto"/>
          <w:lang w:val="en-US" w:eastAsia="zh-CN"/>
        </w:rPr>
        <w:t xml:space="preserve">R4-2406339 </w:t>
      </w:r>
      <w:r>
        <w:rPr>
          <w:rFonts w:hint="default"/>
          <w:color w:val="auto"/>
          <w:lang w:val="en-US" w:eastAsia="zh-CN"/>
        </w:rPr>
        <w:t>“Way Forward for [110bis][207] NR_RRM_enh3_part1”</w:t>
      </w:r>
      <w:r>
        <w:rPr>
          <w:rFonts w:hint="eastAsia"/>
          <w:color w:val="auto"/>
          <w:lang w:val="en-US" w:eastAsia="zh-CN"/>
        </w:rPr>
        <w:t>, Apple</w:t>
      </w:r>
    </w:p>
    <w:p>
      <w:pPr>
        <w:pStyle w:val="7"/>
        <w:numPr>
          <w:ilvl w:val="0"/>
          <w:numId w:val="0"/>
        </w:numPr>
        <w:ind w:left="200" w:leftChars="0"/>
        <w:rPr>
          <w:rFonts w:hint="eastAsia"/>
          <w:color w:val="auto"/>
          <w:lang w:val="en-US" w:eastAsia="zh-CN"/>
        </w:rPr>
      </w:pPr>
    </w:p>
    <w:p>
      <w:pPr>
        <w:pStyle w:val="7"/>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PMincho"/>
    <w:panose1 w:val="020204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7FDC9C"/>
    <w:multiLevelType w:val="singleLevel"/>
    <w:tmpl w:val="E97FDC9C"/>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115CAA5"/>
    <w:multiLevelType w:val="multilevel"/>
    <w:tmpl w:val="3115CAA5"/>
    <w:lvl w:ilvl="0" w:tentative="0">
      <w:start w:val="1"/>
      <w:numFmt w:val="decimal"/>
      <w:lvlText w:val="%1&gt;"/>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3">
    <w:nsid w:val="46DEF1D1"/>
    <w:multiLevelType w:val="singleLevel"/>
    <w:tmpl w:val="46DEF1D1"/>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61"/>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6">
    <w:nsid w:val="6B5B4F67"/>
    <w:multiLevelType w:val="multilevel"/>
    <w:tmpl w:val="6B5B4F67"/>
    <w:lvl w:ilvl="0" w:tentative="0">
      <w:start w:val="1"/>
      <w:numFmt w:val="decimal"/>
      <w:pStyle w:val="7"/>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abstractNum w:abstractNumId="7">
    <w:nsid w:val="6D132084"/>
    <w:multiLevelType w:val="singleLevel"/>
    <w:tmpl w:val="6D132084"/>
    <w:lvl w:ilvl="0" w:tentative="0">
      <w:start w:val="1"/>
      <w:numFmt w:val="decimal"/>
      <w:suff w:val="space"/>
      <w:lvlText w:val="[%1]"/>
      <w:lvlJc w:val="left"/>
    </w:lvl>
  </w:abstractNum>
  <w:num w:numId="1">
    <w:abstractNumId w:val="6"/>
  </w:num>
  <w:num w:numId="2">
    <w:abstractNumId w:val="4"/>
  </w:num>
  <w:num w:numId="3">
    <w:abstractNumId w:val="5"/>
  </w:num>
  <w:num w:numId="4">
    <w:abstractNumId w:val="1"/>
  </w:num>
  <w:num w:numId="5">
    <w:abstractNumId w:val="3"/>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6D6697E"/>
    <w:rsid w:val="075928A1"/>
    <w:rsid w:val="07CD3CDD"/>
    <w:rsid w:val="0855671D"/>
    <w:rsid w:val="08777F6D"/>
    <w:rsid w:val="089009EB"/>
    <w:rsid w:val="096641FF"/>
    <w:rsid w:val="09716BCA"/>
    <w:rsid w:val="09D64B23"/>
    <w:rsid w:val="09E644B8"/>
    <w:rsid w:val="0B12013A"/>
    <w:rsid w:val="0B3D3C2F"/>
    <w:rsid w:val="0BB0429A"/>
    <w:rsid w:val="0BFF5FC6"/>
    <w:rsid w:val="0C394019"/>
    <w:rsid w:val="0CF856E7"/>
    <w:rsid w:val="0D2A60F1"/>
    <w:rsid w:val="0E871F55"/>
    <w:rsid w:val="0EB60EDD"/>
    <w:rsid w:val="0F7514C6"/>
    <w:rsid w:val="0FB6689B"/>
    <w:rsid w:val="10832C30"/>
    <w:rsid w:val="10997F43"/>
    <w:rsid w:val="10DE7BAE"/>
    <w:rsid w:val="110768ED"/>
    <w:rsid w:val="120774A3"/>
    <w:rsid w:val="124D1C25"/>
    <w:rsid w:val="12866C44"/>
    <w:rsid w:val="13262C7B"/>
    <w:rsid w:val="136B3851"/>
    <w:rsid w:val="13B66EB5"/>
    <w:rsid w:val="14006D19"/>
    <w:rsid w:val="14337DBF"/>
    <w:rsid w:val="1481754F"/>
    <w:rsid w:val="148F5721"/>
    <w:rsid w:val="14AC57CD"/>
    <w:rsid w:val="14B90DF6"/>
    <w:rsid w:val="159C76CB"/>
    <w:rsid w:val="15C37DEC"/>
    <w:rsid w:val="15ED3E9B"/>
    <w:rsid w:val="164514BE"/>
    <w:rsid w:val="16CD72CF"/>
    <w:rsid w:val="17065891"/>
    <w:rsid w:val="170F06AA"/>
    <w:rsid w:val="17225508"/>
    <w:rsid w:val="17564923"/>
    <w:rsid w:val="17C63C83"/>
    <w:rsid w:val="180A6E32"/>
    <w:rsid w:val="1825042E"/>
    <w:rsid w:val="183F2CD2"/>
    <w:rsid w:val="1856323E"/>
    <w:rsid w:val="18AF55E3"/>
    <w:rsid w:val="18B1519A"/>
    <w:rsid w:val="18CD0507"/>
    <w:rsid w:val="195D7D48"/>
    <w:rsid w:val="196E39FC"/>
    <w:rsid w:val="197B756F"/>
    <w:rsid w:val="19884F63"/>
    <w:rsid w:val="19960536"/>
    <w:rsid w:val="1AD01A1B"/>
    <w:rsid w:val="1B3C3255"/>
    <w:rsid w:val="1B61065A"/>
    <w:rsid w:val="1B731483"/>
    <w:rsid w:val="1BBF3927"/>
    <w:rsid w:val="1BD261F4"/>
    <w:rsid w:val="1C177B08"/>
    <w:rsid w:val="1C702C80"/>
    <w:rsid w:val="1C9001C6"/>
    <w:rsid w:val="1CBA2101"/>
    <w:rsid w:val="1CC2157E"/>
    <w:rsid w:val="1D0573D7"/>
    <w:rsid w:val="1D153DC4"/>
    <w:rsid w:val="1D223E0B"/>
    <w:rsid w:val="1E132F88"/>
    <w:rsid w:val="1E2867E9"/>
    <w:rsid w:val="1E513650"/>
    <w:rsid w:val="1E853F6F"/>
    <w:rsid w:val="1E9C7BCC"/>
    <w:rsid w:val="1EC87896"/>
    <w:rsid w:val="1ECC1E3C"/>
    <w:rsid w:val="20080741"/>
    <w:rsid w:val="20933D8F"/>
    <w:rsid w:val="20AE781D"/>
    <w:rsid w:val="20C806F7"/>
    <w:rsid w:val="21014C39"/>
    <w:rsid w:val="21244EB1"/>
    <w:rsid w:val="213964D8"/>
    <w:rsid w:val="214F3475"/>
    <w:rsid w:val="21595D04"/>
    <w:rsid w:val="21F13629"/>
    <w:rsid w:val="2305377E"/>
    <w:rsid w:val="24122135"/>
    <w:rsid w:val="24220030"/>
    <w:rsid w:val="24D4257E"/>
    <w:rsid w:val="24D7783C"/>
    <w:rsid w:val="25490B44"/>
    <w:rsid w:val="2572202B"/>
    <w:rsid w:val="2605683C"/>
    <w:rsid w:val="260C4DC9"/>
    <w:rsid w:val="269452A9"/>
    <w:rsid w:val="26BB1419"/>
    <w:rsid w:val="2732686A"/>
    <w:rsid w:val="273D2956"/>
    <w:rsid w:val="27B748AA"/>
    <w:rsid w:val="27CB4CB9"/>
    <w:rsid w:val="27D31A52"/>
    <w:rsid w:val="27FC40F8"/>
    <w:rsid w:val="28121B1E"/>
    <w:rsid w:val="281C2F58"/>
    <w:rsid w:val="28B11127"/>
    <w:rsid w:val="28DC7602"/>
    <w:rsid w:val="29642C4B"/>
    <w:rsid w:val="296569C3"/>
    <w:rsid w:val="2A34628C"/>
    <w:rsid w:val="2A724D05"/>
    <w:rsid w:val="2A7E505C"/>
    <w:rsid w:val="2AC85686"/>
    <w:rsid w:val="2AD04B5F"/>
    <w:rsid w:val="2AF821D7"/>
    <w:rsid w:val="2BC05B2C"/>
    <w:rsid w:val="2BD617C5"/>
    <w:rsid w:val="2C112837"/>
    <w:rsid w:val="2C18208A"/>
    <w:rsid w:val="2CAE0227"/>
    <w:rsid w:val="2D586EBF"/>
    <w:rsid w:val="2D6F3D99"/>
    <w:rsid w:val="2DC04760"/>
    <w:rsid w:val="2E014790"/>
    <w:rsid w:val="2E082A14"/>
    <w:rsid w:val="2EBA1DF4"/>
    <w:rsid w:val="2EE77680"/>
    <w:rsid w:val="2F2F0FC8"/>
    <w:rsid w:val="2F57467C"/>
    <w:rsid w:val="2FBC15C5"/>
    <w:rsid w:val="301C6BB6"/>
    <w:rsid w:val="30220150"/>
    <w:rsid w:val="30571E20"/>
    <w:rsid w:val="31894491"/>
    <w:rsid w:val="319708F2"/>
    <w:rsid w:val="31B14C9E"/>
    <w:rsid w:val="33C522D7"/>
    <w:rsid w:val="347A51A8"/>
    <w:rsid w:val="34807672"/>
    <w:rsid w:val="34921EC4"/>
    <w:rsid w:val="34A82967"/>
    <w:rsid w:val="34E62056"/>
    <w:rsid w:val="3509099B"/>
    <w:rsid w:val="35B06C6A"/>
    <w:rsid w:val="363D6078"/>
    <w:rsid w:val="36941AA2"/>
    <w:rsid w:val="36D37423"/>
    <w:rsid w:val="36FF6E30"/>
    <w:rsid w:val="370E71B8"/>
    <w:rsid w:val="379D23F9"/>
    <w:rsid w:val="37E12984"/>
    <w:rsid w:val="3840202A"/>
    <w:rsid w:val="390F18D5"/>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1BD7DAD"/>
    <w:rsid w:val="42F869D2"/>
    <w:rsid w:val="43285B25"/>
    <w:rsid w:val="43553536"/>
    <w:rsid w:val="43806620"/>
    <w:rsid w:val="443A3304"/>
    <w:rsid w:val="44972678"/>
    <w:rsid w:val="44E85A06"/>
    <w:rsid w:val="451632B9"/>
    <w:rsid w:val="45193F0F"/>
    <w:rsid w:val="4576356B"/>
    <w:rsid w:val="457B4C4B"/>
    <w:rsid w:val="45906394"/>
    <w:rsid w:val="45C25C23"/>
    <w:rsid w:val="45F60A50"/>
    <w:rsid w:val="46142D0C"/>
    <w:rsid w:val="46970A81"/>
    <w:rsid w:val="4697115A"/>
    <w:rsid w:val="46B036BF"/>
    <w:rsid w:val="46C73401"/>
    <w:rsid w:val="47185425"/>
    <w:rsid w:val="47282363"/>
    <w:rsid w:val="49525C50"/>
    <w:rsid w:val="49DC4EAC"/>
    <w:rsid w:val="49E55BC5"/>
    <w:rsid w:val="4B3B06EC"/>
    <w:rsid w:val="4B6E5E44"/>
    <w:rsid w:val="4BF24EEB"/>
    <w:rsid w:val="4C1C63D6"/>
    <w:rsid w:val="4C864A35"/>
    <w:rsid w:val="4CB867ED"/>
    <w:rsid w:val="4CD61886"/>
    <w:rsid w:val="4E015C76"/>
    <w:rsid w:val="4E310026"/>
    <w:rsid w:val="4E4A2325"/>
    <w:rsid w:val="4EF1548F"/>
    <w:rsid w:val="4F2948F1"/>
    <w:rsid w:val="4F2D3B14"/>
    <w:rsid w:val="4F5C5331"/>
    <w:rsid w:val="501A6C55"/>
    <w:rsid w:val="505E1A7C"/>
    <w:rsid w:val="5086431A"/>
    <w:rsid w:val="51B14BED"/>
    <w:rsid w:val="52313D62"/>
    <w:rsid w:val="52526454"/>
    <w:rsid w:val="525C1CEF"/>
    <w:rsid w:val="528B5767"/>
    <w:rsid w:val="52C700B1"/>
    <w:rsid w:val="52D33625"/>
    <w:rsid w:val="53A3105E"/>
    <w:rsid w:val="53C64B93"/>
    <w:rsid w:val="53D64D18"/>
    <w:rsid w:val="54283FDA"/>
    <w:rsid w:val="548A6C60"/>
    <w:rsid w:val="5534082B"/>
    <w:rsid w:val="55B1164D"/>
    <w:rsid w:val="55B4735E"/>
    <w:rsid w:val="55BB221D"/>
    <w:rsid w:val="55F52EA4"/>
    <w:rsid w:val="5604091D"/>
    <w:rsid w:val="56371459"/>
    <w:rsid w:val="56484633"/>
    <w:rsid w:val="56EB15F8"/>
    <w:rsid w:val="58D0053D"/>
    <w:rsid w:val="58DB5C96"/>
    <w:rsid w:val="5963100F"/>
    <w:rsid w:val="598C40A0"/>
    <w:rsid w:val="59DA647E"/>
    <w:rsid w:val="5A472BD1"/>
    <w:rsid w:val="5A556E1A"/>
    <w:rsid w:val="5A607E19"/>
    <w:rsid w:val="5C094F4D"/>
    <w:rsid w:val="5C876D53"/>
    <w:rsid w:val="5CFD1122"/>
    <w:rsid w:val="5E283A0C"/>
    <w:rsid w:val="5E2864D0"/>
    <w:rsid w:val="5E494511"/>
    <w:rsid w:val="5E531A2E"/>
    <w:rsid w:val="5EB44FC0"/>
    <w:rsid w:val="5FBA395F"/>
    <w:rsid w:val="60EC2CBA"/>
    <w:rsid w:val="60EE2705"/>
    <w:rsid w:val="61BD018E"/>
    <w:rsid w:val="61CC2D28"/>
    <w:rsid w:val="63476641"/>
    <w:rsid w:val="635902CD"/>
    <w:rsid w:val="635E6E54"/>
    <w:rsid w:val="640F0A9C"/>
    <w:rsid w:val="64706BBE"/>
    <w:rsid w:val="64F2095B"/>
    <w:rsid w:val="655E2D01"/>
    <w:rsid w:val="663429C9"/>
    <w:rsid w:val="66837EAF"/>
    <w:rsid w:val="67A858DB"/>
    <w:rsid w:val="67C776ED"/>
    <w:rsid w:val="67FE4166"/>
    <w:rsid w:val="68C401C3"/>
    <w:rsid w:val="69A833BD"/>
    <w:rsid w:val="6A9360AB"/>
    <w:rsid w:val="6AB215EC"/>
    <w:rsid w:val="6C742572"/>
    <w:rsid w:val="6C952210"/>
    <w:rsid w:val="6CAE59F5"/>
    <w:rsid w:val="6CD425A8"/>
    <w:rsid w:val="6D023321"/>
    <w:rsid w:val="6D452195"/>
    <w:rsid w:val="6D566F0F"/>
    <w:rsid w:val="6D836F72"/>
    <w:rsid w:val="6D944C6F"/>
    <w:rsid w:val="6DDE3DAF"/>
    <w:rsid w:val="6E3241BE"/>
    <w:rsid w:val="6E92081A"/>
    <w:rsid w:val="6EB97A9D"/>
    <w:rsid w:val="6EF10A90"/>
    <w:rsid w:val="6EF77781"/>
    <w:rsid w:val="6F7F3578"/>
    <w:rsid w:val="6F932AF0"/>
    <w:rsid w:val="6FA020C5"/>
    <w:rsid w:val="6FFF1868"/>
    <w:rsid w:val="715F4C2D"/>
    <w:rsid w:val="71605362"/>
    <w:rsid w:val="71733BEC"/>
    <w:rsid w:val="71C020E8"/>
    <w:rsid w:val="722F78FB"/>
    <w:rsid w:val="723D67C5"/>
    <w:rsid w:val="72BF60CA"/>
    <w:rsid w:val="72F41282"/>
    <w:rsid w:val="730336CA"/>
    <w:rsid w:val="733D0D32"/>
    <w:rsid w:val="73984EC1"/>
    <w:rsid w:val="73D411F1"/>
    <w:rsid w:val="73F0682F"/>
    <w:rsid w:val="744E0E29"/>
    <w:rsid w:val="753811DE"/>
    <w:rsid w:val="75A854A2"/>
    <w:rsid w:val="75BE67D4"/>
    <w:rsid w:val="75C2004C"/>
    <w:rsid w:val="75C759C1"/>
    <w:rsid w:val="762D64F3"/>
    <w:rsid w:val="766B63D6"/>
    <w:rsid w:val="767E7EFF"/>
    <w:rsid w:val="77592FF4"/>
    <w:rsid w:val="775B4604"/>
    <w:rsid w:val="77C067C3"/>
    <w:rsid w:val="77F32708"/>
    <w:rsid w:val="783F569F"/>
    <w:rsid w:val="78911E31"/>
    <w:rsid w:val="7922350F"/>
    <w:rsid w:val="792B5470"/>
    <w:rsid w:val="798B394D"/>
    <w:rsid w:val="7A2A2BDF"/>
    <w:rsid w:val="7A9367CB"/>
    <w:rsid w:val="7AC62F94"/>
    <w:rsid w:val="7AF22571"/>
    <w:rsid w:val="7B69224B"/>
    <w:rsid w:val="7BE80F25"/>
    <w:rsid w:val="7C1127AC"/>
    <w:rsid w:val="7C1C35A7"/>
    <w:rsid w:val="7C45431D"/>
    <w:rsid w:val="7D3219D5"/>
    <w:rsid w:val="7DDD0501"/>
    <w:rsid w:val="7DE51372"/>
    <w:rsid w:val="7DFF100D"/>
    <w:rsid w:val="7E5E590F"/>
    <w:rsid w:val="7E935AFB"/>
    <w:rsid w:val="7EF30223"/>
    <w:rsid w:val="7F695915"/>
    <w:rsid w:val="7FC5602F"/>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List 4"/>
    <w:basedOn w:val="6"/>
    <w:qFormat/>
    <w:uiPriority w:val="0"/>
    <w:pPr>
      <w:ind w:left="1418"/>
    </w:pPr>
  </w:style>
  <w:style w:type="paragraph" w:styleId="18">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1"/>
    <w:qFormat/>
    <w:uiPriority w:val="0"/>
  </w:style>
  <w:style w:type="character" w:customStyle="1" w:styleId="57">
    <w:name w:val="eop"/>
    <w:basedOn w:val="21"/>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B2"/>
    <w:basedOn w:val="7"/>
    <w:qFormat/>
    <w:uiPriority w:val="0"/>
  </w:style>
  <w:style w:type="paragraph" w:customStyle="1" w:styleId="61">
    <w:name w:val="样式3"/>
    <w:basedOn w:val="31"/>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2">
    <w:name w:val="B3"/>
    <w:basedOn w:val="6"/>
    <w:qFormat/>
    <w:uiPriority w:val="0"/>
  </w:style>
  <w:style w:type="table" w:customStyle="1" w:styleId="63">
    <w:name w:val="Table Grid5"/>
    <w:basedOn w:val="1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B4"/>
    <w:basedOn w:val="1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2024-05-13T08:12:14Z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FFB5176DD3A4421EBB948A7705297399</vt:lpwstr>
  </property>
</Properties>
</file>